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5584" w:rsidRPr="00570AF4" w:rsidRDefault="00570AF4" w:rsidP="00570AF4">
      <w:pPr>
        <w:spacing w:after="0" w:line="240" w:lineRule="auto"/>
        <w:rPr>
          <w:rFonts w:ascii="Times New Roman" w:eastAsia="Times New Roman" w:hAnsi="Times New Roman" w:cs="Times New Roman"/>
          <w:b/>
          <w:snapToGrid w:val="0"/>
          <w:kern w:val="28"/>
          <w:sz w:val="24"/>
          <w:szCs w:val="24"/>
        </w:rPr>
      </w:pPr>
      <w:r w:rsidRPr="00570AF4">
        <w:rPr>
          <w:rFonts w:ascii="Times New Roman" w:eastAsia="Calibri" w:hAnsi="Times New Roman" w:cs="Times New Roman"/>
          <w:b/>
          <w:sz w:val="24"/>
          <w:szCs w:val="24"/>
        </w:rPr>
        <w:t xml:space="preserve">Приложение </w:t>
      </w:r>
      <w:r w:rsidR="00C53DE3">
        <w:rPr>
          <w:rFonts w:ascii="Times New Roman" w:eastAsia="Calibri" w:hAnsi="Times New Roman" w:cs="Times New Roman"/>
          <w:b/>
          <w:sz w:val="24"/>
          <w:szCs w:val="24"/>
        </w:rPr>
        <w:t>А</w:t>
      </w:r>
    </w:p>
    <w:p w:rsidR="00C1144B" w:rsidRPr="00570AF4" w:rsidRDefault="00C1144B" w:rsidP="00570AF4">
      <w:pPr>
        <w:spacing w:after="0" w:line="240" w:lineRule="auto"/>
        <w:rPr>
          <w:rFonts w:ascii="Times New Roman" w:eastAsia="Times New Roman" w:hAnsi="Times New Roman" w:cs="Times New Roman"/>
          <w:b/>
          <w:snapToGrid w:val="0"/>
          <w:sz w:val="24"/>
          <w:szCs w:val="24"/>
        </w:rPr>
      </w:pPr>
    </w:p>
    <w:p w:rsidR="00F56BC0" w:rsidRPr="00570AF4" w:rsidRDefault="00DF094A" w:rsidP="00570AF4">
      <w:pPr>
        <w:spacing w:after="0" w:line="240" w:lineRule="auto"/>
        <w:jc w:val="center"/>
        <w:rPr>
          <w:rFonts w:ascii="Times New Roman" w:eastAsia="Times New Roman" w:hAnsi="Times New Roman" w:cs="Times New Roman"/>
          <w:b/>
          <w:snapToGrid w:val="0"/>
          <w:kern w:val="28"/>
          <w:sz w:val="24"/>
          <w:szCs w:val="24"/>
        </w:rPr>
      </w:pPr>
      <w:r w:rsidRPr="00570AF4">
        <w:rPr>
          <w:rFonts w:ascii="Times New Roman" w:eastAsia="Times New Roman" w:hAnsi="Times New Roman" w:cs="Times New Roman"/>
          <w:b/>
          <w:snapToGrid w:val="0"/>
          <w:kern w:val="28"/>
          <w:sz w:val="24"/>
          <w:szCs w:val="24"/>
        </w:rPr>
        <w:t>ОСНОВНИ ДЕФИНИЦИИ</w:t>
      </w:r>
    </w:p>
    <w:p w:rsidR="00E12165" w:rsidRPr="00570AF4" w:rsidRDefault="00E12165" w:rsidP="00570AF4">
      <w:pPr>
        <w:spacing w:after="0" w:line="240" w:lineRule="auto"/>
        <w:rPr>
          <w:rFonts w:ascii="Times New Roman" w:eastAsia="Times New Roman" w:hAnsi="Times New Roman" w:cs="Times New Roman"/>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0"/>
        <w:gridCol w:w="7028"/>
      </w:tblGrid>
      <w:tr w:rsidR="00F56BC0" w:rsidRPr="00570AF4" w:rsidTr="00570AF4">
        <w:trPr>
          <w:trHeight w:val="142"/>
        </w:trPr>
        <w:tc>
          <w:tcPr>
            <w:tcW w:w="2110" w:type="dxa"/>
            <w:shd w:val="clear" w:color="auto" w:fill="E6E6E6"/>
          </w:tcPr>
          <w:p w:rsidR="00F56BC0" w:rsidRPr="00570AF4" w:rsidRDefault="00570AF4" w:rsidP="00570AF4">
            <w:pPr>
              <w:spacing w:after="0" w:line="240" w:lineRule="auto"/>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ТЕРМИН</w:t>
            </w:r>
          </w:p>
        </w:tc>
        <w:tc>
          <w:tcPr>
            <w:tcW w:w="7178" w:type="dxa"/>
            <w:shd w:val="clear" w:color="auto" w:fill="F3F3F3"/>
          </w:tcPr>
          <w:p w:rsidR="00F56BC0" w:rsidRPr="00570AF4" w:rsidRDefault="00570AF4" w:rsidP="00570AF4">
            <w:pPr>
              <w:spacing w:after="0" w:line="240" w:lineRule="auto"/>
              <w:jc w:val="center"/>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ЛЕГАЛНА ДЕФИНИЦИЯ</w:t>
            </w:r>
          </w:p>
        </w:tc>
      </w:tr>
      <w:tr w:rsidR="00F56BC0" w:rsidRPr="00570AF4" w:rsidTr="00391455">
        <w:tc>
          <w:tcPr>
            <w:tcW w:w="2110" w:type="dxa"/>
            <w:shd w:val="clear" w:color="auto" w:fill="E6E6E6"/>
          </w:tcPr>
          <w:p w:rsidR="00F56BC0"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Авансово плащане</w:t>
            </w:r>
          </w:p>
        </w:tc>
        <w:tc>
          <w:tcPr>
            <w:tcW w:w="7178" w:type="dxa"/>
            <w:shd w:val="clear" w:color="auto" w:fill="F3F3F3"/>
          </w:tcPr>
          <w:p w:rsidR="00F56BC0" w:rsidRPr="00570AF4" w:rsidRDefault="00D314A5"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Плащане по смисъла на чл. 63 на Регламент (ЕС) № 1305/2013 г.</w:t>
            </w:r>
          </w:p>
        </w:tc>
      </w:tr>
      <w:tr w:rsidR="006932EA" w:rsidRPr="00570AF4" w:rsidTr="00391455">
        <w:tc>
          <w:tcPr>
            <w:tcW w:w="2110" w:type="dxa"/>
            <w:shd w:val="clear" w:color="auto" w:fill="E6E6E6"/>
          </w:tcPr>
          <w:p w:rsidR="006932EA"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Административен договор</w:t>
            </w:r>
          </w:p>
        </w:tc>
        <w:tc>
          <w:tcPr>
            <w:tcW w:w="7178" w:type="dxa"/>
            <w:shd w:val="clear" w:color="auto" w:fill="F3F3F3"/>
          </w:tcPr>
          <w:p w:rsidR="006932EA" w:rsidRPr="00570AF4" w:rsidRDefault="00D314A5" w:rsidP="00570AF4">
            <w:pPr>
              <w:spacing w:after="0" w:line="240" w:lineRule="auto"/>
              <w:rPr>
                <w:rFonts w:ascii="Times New Roman" w:eastAsia="Times New Roman" w:hAnsi="Times New Roman" w:cs="Times New Roman"/>
                <w:snapToGrid w:val="0"/>
                <w:sz w:val="24"/>
                <w:szCs w:val="24"/>
                <w:lang w:val="en-US"/>
              </w:rPr>
            </w:pPr>
            <w:r w:rsidRPr="00570AF4">
              <w:rPr>
                <w:rFonts w:ascii="Times New Roman" w:hAnsi="Times New Roman" w:cs="Times New Roman"/>
                <w:sz w:val="24"/>
                <w:szCs w:val="24"/>
              </w:rPr>
              <w:t xml:space="preserve"> </w:t>
            </w:r>
            <w:r w:rsidRPr="00570AF4">
              <w:rPr>
                <w:rFonts w:ascii="Times New Roman" w:eastAsia="Times New Roman" w:hAnsi="Times New Roman" w:cs="Times New Roman"/>
                <w:snapToGrid w:val="0"/>
                <w:sz w:val="24"/>
                <w:szCs w:val="24"/>
              </w:rPr>
              <w:t>Изрично волеизявление на изпълнителният директор на ДФЗ-РА за предоставяне на безвъзмездна финансова помощ със средства по ПРСР 2014 – 2020 г.,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 договор се оформя в писмено споразумение между изпълнителния директор на ДФЗ-РА и бенефициента, заместващо издаването на административен акт.</w:t>
            </w:r>
          </w:p>
        </w:tc>
      </w:tr>
      <w:tr w:rsidR="00655AB9" w:rsidRPr="00570AF4" w:rsidTr="00391455">
        <w:tc>
          <w:tcPr>
            <w:tcW w:w="2110" w:type="dxa"/>
            <w:shd w:val="clear" w:color="auto" w:fill="E6E6E6"/>
          </w:tcPr>
          <w:p w:rsidR="00655AB9"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Биоенергия</w:t>
            </w:r>
          </w:p>
        </w:tc>
        <w:tc>
          <w:tcPr>
            <w:tcW w:w="7178" w:type="dxa"/>
            <w:shd w:val="clear" w:color="auto" w:fill="F3F3F3"/>
          </w:tcPr>
          <w:p w:rsidR="00655AB9" w:rsidRPr="00570AF4" w:rsidRDefault="00D314A5"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Енергия, включително под формата на течни или газообразни горива, която е получена от преработката на биомаса.</w:t>
            </w:r>
          </w:p>
        </w:tc>
      </w:tr>
      <w:tr w:rsidR="0019069B" w:rsidRPr="00570AF4" w:rsidTr="00391455">
        <w:tc>
          <w:tcPr>
            <w:tcW w:w="2110" w:type="dxa"/>
            <w:shd w:val="clear" w:color="auto" w:fill="E6E6E6"/>
          </w:tcPr>
          <w:p w:rsidR="0019069B"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Биомаса</w:t>
            </w:r>
          </w:p>
        </w:tc>
        <w:tc>
          <w:tcPr>
            <w:tcW w:w="7178" w:type="dxa"/>
            <w:shd w:val="clear" w:color="auto" w:fill="F3F3F3"/>
          </w:tcPr>
          <w:p w:rsidR="0019069B" w:rsidRPr="00570AF4" w:rsidRDefault="00D314A5"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19069B" w:rsidRPr="00570AF4" w:rsidTr="00391455">
        <w:tc>
          <w:tcPr>
            <w:tcW w:w="2110" w:type="dxa"/>
            <w:shd w:val="clear" w:color="auto" w:fill="E6E6E6"/>
          </w:tcPr>
          <w:p w:rsidR="0019069B"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Дейност</w:t>
            </w:r>
          </w:p>
        </w:tc>
        <w:tc>
          <w:tcPr>
            <w:tcW w:w="7178" w:type="dxa"/>
            <w:shd w:val="clear" w:color="auto" w:fill="F3F3F3"/>
          </w:tcPr>
          <w:p w:rsidR="0019069B" w:rsidRPr="00570AF4" w:rsidRDefault="00D314A5"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бенефициенти, предвид постигането на поставените цели в ПРСР.</w:t>
            </w:r>
          </w:p>
        </w:tc>
      </w:tr>
      <w:tr w:rsidR="00D314A5" w:rsidRPr="00570AF4" w:rsidTr="00391455">
        <w:tc>
          <w:tcPr>
            <w:tcW w:w="2110" w:type="dxa"/>
            <w:shd w:val="clear" w:color="auto" w:fill="E6E6E6"/>
          </w:tcPr>
          <w:p w:rsidR="00D314A5"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Доминиращо влияние</w:t>
            </w:r>
          </w:p>
        </w:tc>
        <w:tc>
          <w:tcPr>
            <w:tcW w:w="7178" w:type="dxa"/>
            <w:shd w:val="clear" w:color="auto" w:fill="F3F3F3"/>
          </w:tcPr>
          <w:p w:rsidR="00D314A5" w:rsidRPr="00570AF4" w:rsidRDefault="00D314A5" w:rsidP="00570AF4">
            <w:pPr>
              <w:spacing w:after="0"/>
              <w:rPr>
                <w:rFonts w:ascii="Times New Roman" w:hAnsi="Times New Roman" w:cs="Times New Roman"/>
                <w:sz w:val="24"/>
                <w:szCs w:val="24"/>
              </w:rPr>
            </w:pPr>
            <w:r w:rsidRPr="00570AF4">
              <w:rPr>
                <w:rFonts w:ascii="Times New Roman" w:hAnsi="Times New Roman" w:cs="Times New Roman"/>
                <w:sz w:val="24"/>
                <w:szCs w:val="24"/>
              </w:rPr>
              <w:t xml:space="preserve">Върху юридическо лице е влиянието на друго лице, което: </w:t>
            </w:r>
          </w:p>
          <w:p w:rsidR="00D314A5" w:rsidRPr="00570AF4" w:rsidRDefault="00D314A5" w:rsidP="00570AF4">
            <w:pPr>
              <w:spacing w:after="0"/>
              <w:rPr>
                <w:rFonts w:ascii="Times New Roman" w:hAnsi="Times New Roman" w:cs="Times New Roman"/>
                <w:sz w:val="24"/>
                <w:szCs w:val="24"/>
              </w:rPr>
            </w:pPr>
            <w:r w:rsidRPr="00570AF4">
              <w:rPr>
                <w:rFonts w:ascii="Times New Roman" w:hAnsi="Times New Roman" w:cs="Times New Roman"/>
                <w:sz w:val="24"/>
                <w:szCs w:val="24"/>
              </w:rPr>
              <w:t>а) притежава мажоритарния дял от капитала на юридическото лице, или</w:t>
            </w:r>
          </w:p>
          <w:p w:rsidR="00D314A5" w:rsidRPr="00570AF4" w:rsidRDefault="00D314A5" w:rsidP="00570AF4">
            <w:pPr>
              <w:spacing w:after="0"/>
              <w:rPr>
                <w:rFonts w:ascii="Times New Roman" w:hAnsi="Times New Roman" w:cs="Times New Roman"/>
                <w:sz w:val="24"/>
                <w:szCs w:val="24"/>
              </w:rPr>
            </w:pPr>
            <w:r w:rsidRPr="00570AF4">
              <w:rPr>
                <w:rFonts w:ascii="Times New Roman" w:hAnsi="Times New Roman" w:cs="Times New Roman"/>
                <w:sz w:val="24"/>
                <w:szCs w:val="24"/>
              </w:rPr>
              <w:t xml:space="preserve">б) притежава блокираща квота в капитала на юридическото лице, или </w:t>
            </w:r>
          </w:p>
          <w:p w:rsidR="00D314A5" w:rsidRPr="00570AF4" w:rsidRDefault="00D314A5" w:rsidP="00570AF4">
            <w:pPr>
              <w:spacing w:after="0"/>
              <w:rPr>
                <w:rFonts w:ascii="Times New Roman" w:hAnsi="Times New Roman" w:cs="Times New Roman"/>
                <w:sz w:val="24"/>
                <w:szCs w:val="24"/>
              </w:rPr>
            </w:pPr>
            <w:r w:rsidRPr="00570AF4">
              <w:rPr>
                <w:rFonts w:ascii="Times New Roman" w:hAnsi="Times New Roman" w:cs="Times New Roman"/>
                <w:sz w:val="24"/>
                <w:szCs w:val="24"/>
              </w:rPr>
              <w:t>в) може да назначава повече от половината от членовете на управителните или контролните органи на юридическото лице.</w:t>
            </w:r>
          </w:p>
        </w:tc>
      </w:tr>
      <w:tr w:rsidR="00D314A5" w:rsidRPr="00570AF4" w:rsidTr="00391455">
        <w:tc>
          <w:tcPr>
            <w:tcW w:w="2110" w:type="dxa"/>
            <w:shd w:val="clear" w:color="auto" w:fill="E6E6E6"/>
          </w:tcPr>
          <w:p w:rsidR="00D314A5" w:rsidRPr="00570AF4" w:rsidRDefault="00D314A5"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Енергийна ефективност в рамките на земеделското стопанство</w:t>
            </w:r>
          </w:p>
        </w:tc>
        <w:tc>
          <w:tcPr>
            <w:tcW w:w="7178" w:type="dxa"/>
            <w:shd w:val="clear" w:color="auto" w:fill="F3F3F3"/>
          </w:tcPr>
          <w:p w:rsidR="00D314A5" w:rsidRPr="00570AF4" w:rsidRDefault="00F260B2" w:rsidP="00570AF4">
            <w:pPr>
              <w:spacing w:after="0"/>
              <w:rPr>
                <w:rFonts w:ascii="Times New Roman" w:hAnsi="Times New Roman" w:cs="Times New Roman"/>
                <w:sz w:val="24"/>
                <w:szCs w:val="24"/>
              </w:rPr>
            </w:pPr>
            <w:r w:rsidRPr="00570AF4">
              <w:rPr>
                <w:rFonts w:ascii="Times New Roman" w:hAnsi="Times New Roman" w:cs="Times New Roman"/>
                <w:sz w:val="24"/>
                <w:szCs w:val="24"/>
              </w:rPr>
              <w:t>Съотношението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земеделско стопанство спрямо годишното потребление на енергия за годината, предхождаща годината на подаване на проектното предложение.</w:t>
            </w:r>
          </w:p>
        </w:tc>
      </w:tr>
      <w:tr w:rsidR="00502F9C" w:rsidRPr="00570AF4" w:rsidTr="00391455">
        <w:tc>
          <w:tcPr>
            <w:tcW w:w="2110" w:type="dxa"/>
            <w:shd w:val="clear" w:color="auto" w:fill="E6E6E6"/>
          </w:tcPr>
          <w:p w:rsidR="00F260B2"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Земеделска дейност</w:t>
            </w:r>
          </w:p>
          <w:p w:rsidR="00502F9C" w:rsidRPr="00570AF4" w:rsidRDefault="00502F9C" w:rsidP="00570AF4">
            <w:pPr>
              <w:spacing w:after="0"/>
              <w:rPr>
                <w:rFonts w:ascii="Times New Roman" w:eastAsia="Times New Roman" w:hAnsi="Times New Roman" w:cs="Times New Roman"/>
                <w:sz w:val="24"/>
                <w:szCs w:val="24"/>
              </w:rPr>
            </w:pPr>
          </w:p>
        </w:tc>
        <w:tc>
          <w:tcPr>
            <w:tcW w:w="7178" w:type="dxa"/>
            <w:shd w:val="clear" w:color="auto" w:fill="F3F3F3"/>
          </w:tcPr>
          <w:p w:rsidR="00502F9C"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380C77" w:rsidRPr="00570AF4" w:rsidTr="00391455">
        <w:tc>
          <w:tcPr>
            <w:tcW w:w="2110" w:type="dxa"/>
            <w:shd w:val="clear" w:color="auto" w:fill="E6E6E6"/>
          </w:tcPr>
          <w:p w:rsidR="00380C77"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Земеделски култури</w:t>
            </w:r>
          </w:p>
        </w:tc>
        <w:tc>
          <w:tcPr>
            <w:tcW w:w="7178" w:type="dxa"/>
            <w:shd w:val="clear" w:color="auto" w:fill="F3F3F3"/>
          </w:tcPr>
          <w:p w:rsidR="00380C77"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502F9C" w:rsidRPr="00570AF4" w:rsidTr="00391455">
        <w:tc>
          <w:tcPr>
            <w:tcW w:w="2110" w:type="dxa"/>
            <w:shd w:val="clear" w:color="auto" w:fill="E6E6E6"/>
          </w:tcPr>
          <w:p w:rsidR="00502F9C"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Земеделска техника</w:t>
            </w:r>
          </w:p>
        </w:tc>
        <w:tc>
          <w:tcPr>
            <w:tcW w:w="7178" w:type="dxa"/>
            <w:shd w:val="clear" w:color="auto" w:fill="F3F3F3"/>
          </w:tcPr>
          <w:p w:rsidR="00311D57"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570AF4">
              <w:rPr>
                <w:rFonts w:ascii="Times New Roman" w:eastAsia="Times New Roman" w:hAnsi="Times New Roman" w:cs="Times New Roman"/>
                <w:snapToGrid w:val="0"/>
                <w:sz w:val="24"/>
                <w:szCs w:val="24"/>
              </w:rPr>
              <w:t>колесни</w:t>
            </w:r>
            <w:proofErr w:type="spellEnd"/>
            <w:r w:rsidRPr="00570AF4">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570AF4">
              <w:rPr>
                <w:rFonts w:ascii="Times New Roman" w:eastAsia="Times New Roman" w:hAnsi="Times New Roman" w:cs="Times New Roman"/>
                <w:snapToGrid w:val="0"/>
                <w:sz w:val="24"/>
                <w:szCs w:val="24"/>
              </w:rPr>
              <w:t>прикачна</w:t>
            </w:r>
            <w:proofErr w:type="spellEnd"/>
            <w:r w:rsidRPr="00570AF4">
              <w:rPr>
                <w:rFonts w:ascii="Times New Roman" w:eastAsia="Times New Roman" w:hAnsi="Times New Roman" w:cs="Times New Roman"/>
                <w:snapToGrid w:val="0"/>
                <w:sz w:val="24"/>
                <w:szCs w:val="24"/>
              </w:rPr>
              <w:t xml:space="preserve"> техника.</w:t>
            </w:r>
          </w:p>
        </w:tc>
      </w:tr>
      <w:tr w:rsidR="00E80306" w:rsidRPr="00570AF4" w:rsidTr="00391455">
        <w:tc>
          <w:tcPr>
            <w:tcW w:w="2110" w:type="dxa"/>
            <w:shd w:val="clear" w:color="auto" w:fill="E6E6E6"/>
          </w:tcPr>
          <w:p w:rsidR="00E80306"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Изкуствено създадени условия</w:t>
            </w:r>
          </w:p>
        </w:tc>
        <w:tc>
          <w:tcPr>
            <w:tcW w:w="7178" w:type="dxa"/>
            <w:shd w:val="clear" w:color="auto" w:fill="F3F3F3"/>
          </w:tcPr>
          <w:p w:rsidR="00E80306"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502F9C" w:rsidRPr="00570AF4" w:rsidTr="00391455">
        <w:tc>
          <w:tcPr>
            <w:tcW w:w="2110" w:type="dxa"/>
            <w:shd w:val="clear" w:color="auto" w:fill="E6E6E6"/>
          </w:tcPr>
          <w:p w:rsidR="00502F9C"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Икономическа жизнеспособност</w:t>
            </w:r>
          </w:p>
        </w:tc>
        <w:tc>
          <w:tcPr>
            <w:tcW w:w="7178" w:type="dxa"/>
            <w:shd w:val="clear" w:color="auto" w:fill="F3F3F3"/>
          </w:tcPr>
          <w:p w:rsidR="00311D57"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Генерирането на доходи от дейността, гарантиращи устойчивост на земеделското стопанство за периода на </w:t>
            </w:r>
            <w:proofErr w:type="spellStart"/>
            <w:r w:rsidRPr="00570AF4">
              <w:rPr>
                <w:rFonts w:ascii="Times New Roman" w:eastAsia="Times New Roman" w:hAnsi="Times New Roman" w:cs="Times New Roman"/>
                <w:snapToGrid w:val="0"/>
                <w:sz w:val="24"/>
                <w:szCs w:val="24"/>
              </w:rPr>
              <w:t>бизнесплана</w:t>
            </w:r>
            <w:proofErr w:type="spellEnd"/>
            <w:r w:rsidRPr="00570AF4">
              <w:rPr>
                <w:rFonts w:ascii="Times New Roman" w:eastAsia="Times New Roman" w:hAnsi="Times New Roman" w:cs="Times New Roman"/>
                <w:snapToGrid w:val="0"/>
                <w:sz w:val="24"/>
                <w:szCs w:val="24"/>
              </w:rPr>
              <w:t>.</w:t>
            </w:r>
          </w:p>
        </w:tc>
      </w:tr>
      <w:tr w:rsidR="00502F9C" w:rsidRPr="00570AF4" w:rsidTr="00391455">
        <w:tc>
          <w:tcPr>
            <w:tcW w:w="2110" w:type="dxa"/>
            <w:shd w:val="clear" w:color="auto" w:fill="E6E6E6"/>
          </w:tcPr>
          <w:p w:rsidR="00502F9C"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Икономически размер на стопанство</w:t>
            </w:r>
          </w:p>
        </w:tc>
        <w:tc>
          <w:tcPr>
            <w:tcW w:w="7178" w:type="dxa"/>
            <w:shd w:val="clear" w:color="auto" w:fill="F3F3F3"/>
          </w:tcPr>
          <w:p w:rsidR="0078029D"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Размерът на земеделското стопанство, изразен в стандартен производствен обем.</w:t>
            </w:r>
          </w:p>
        </w:tc>
      </w:tr>
      <w:tr w:rsidR="00311B06" w:rsidRPr="00570AF4" w:rsidTr="00391455">
        <w:tc>
          <w:tcPr>
            <w:tcW w:w="2110" w:type="dxa"/>
            <w:shd w:val="clear" w:color="auto" w:fill="E6E6E6"/>
          </w:tcPr>
          <w:p w:rsidR="00311B06"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Иновации</w:t>
            </w:r>
          </w:p>
        </w:tc>
        <w:tc>
          <w:tcPr>
            <w:tcW w:w="7178" w:type="dxa"/>
            <w:shd w:val="clear" w:color="auto" w:fill="F3F3F3"/>
          </w:tcPr>
          <w:p w:rsidR="00311B06"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регистрирана в рамките на две години преди датата на подаване на проектното предложение. За иновации не се считат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w:t>
            </w:r>
            <w:proofErr w:type="spellStart"/>
            <w:r w:rsidRPr="00570AF4">
              <w:rPr>
                <w:rFonts w:ascii="Times New Roman" w:eastAsia="Times New Roman" w:hAnsi="Times New Roman" w:cs="Times New Roman"/>
                <w:snapToGrid w:val="0"/>
                <w:sz w:val="24"/>
                <w:szCs w:val="24"/>
              </w:rPr>
              <w:t>надграждането</w:t>
            </w:r>
            <w:proofErr w:type="spellEnd"/>
            <w:r w:rsidRPr="00570AF4">
              <w:rPr>
                <w:rFonts w:ascii="Times New Roman" w:eastAsia="Times New Roman" w:hAnsi="Times New Roman" w:cs="Times New Roman"/>
                <w:snapToGrid w:val="0"/>
                <w:sz w:val="24"/>
                <w:szCs w:val="24"/>
              </w:rPr>
              <w:t xml:space="preserve"> им, промени, произтичащи изцяло от промени в цените на производствените фактори, сезонни или други циклични 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w:t>
            </w:r>
          </w:p>
        </w:tc>
      </w:tr>
      <w:tr w:rsidR="00C5289A" w:rsidRPr="00570AF4" w:rsidTr="00391455">
        <w:tc>
          <w:tcPr>
            <w:tcW w:w="2110" w:type="dxa"/>
            <w:shd w:val="clear" w:color="auto" w:fill="E6E6E6"/>
          </w:tcPr>
          <w:p w:rsidR="00C5289A"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Инженерен проект</w:t>
            </w:r>
          </w:p>
        </w:tc>
        <w:tc>
          <w:tcPr>
            <w:tcW w:w="7178" w:type="dxa"/>
            <w:shd w:val="clear" w:color="auto" w:fill="F3F3F3"/>
          </w:tcPr>
          <w:p w:rsidR="00C5289A"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 1305/2013, включително потенциалните икономии и ефективните икономии на вода на напоителната система.</w:t>
            </w:r>
          </w:p>
        </w:tc>
      </w:tr>
      <w:tr w:rsidR="003D5F84" w:rsidRPr="00570AF4" w:rsidTr="00391455">
        <w:tc>
          <w:tcPr>
            <w:tcW w:w="2110" w:type="dxa"/>
            <w:shd w:val="clear" w:color="auto" w:fill="E6E6E6"/>
          </w:tcPr>
          <w:p w:rsidR="003D5F84" w:rsidRPr="00570AF4" w:rsidRDefault="00F260B2"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Интегрирани проекти</w:t>
            </w:r>
          </w:p>
          <w:p w:rsidR="00F260B2" w:rsidRPr="00570AF4" w:rsidRDefault="00F260B2" w:rsidP="00570AF4">
            <w:pPr>
              <w:spacing w:after="0" w:line="240" w:lineRule="auto"/>
              <w:rPr>
                <w:rFonts w:ascii="Times New Roman" w:eastAsia="Times New Roman" w:hAnsi="Times New Roman" w:cs="Times New Roman"/>
                <w:b/>
                <w:snapToGrid w:val="0"/>
                <w:sz w:val="24"/>
                <w:szCs w:val="24"/>
              </w:rPr>
            </w:pPr>
          </w:p>
        </w:tc>
        <w:tc>
          <w:tcPr>
            <w:tcW w:w="7178" w:type="dxa"/>
            <w:shd w:val="clear" w:color="auto" w:fill="F3F3F3"/>
          </w:tcPr>
          <w:p w:rsidR="00F260B2"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Проекти, изпълнявани от един кандидат и съчетаващи най-малко две дейности или операции, попадащи в обхвата на две различни мерки:</w:t>
            </w:r>
          </w:p>
          <w:p w:rsidR="00F260B2"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а) мярка 4 и мярка 6;</w:t>
            </w:r>
          </w:p>
          <w:p w:rsidR="00F260B2"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б) мярка 4 и мярка 8;</w:t>
            </w:r>
          </w:p>
          <w:p w:rsidR="00F260B2"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 мярка 4 и мярка 9;</w:t>
            </w:r>
          </w:p>
          <w:p w:rsidR="003D5F84" w:rsidRPr="00570AF4" w:rsidRDefault="00F260B2"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или подмерки от тези мерки от ПРСР 2014 – 2020 г., като проектите следва да допринасят и показват по-добри финансови </w:t>
            </w:r>
            <w:r w:rsidRPr="00570AF4">
              <w:rPr>
                <w:rFonts w:ascii="Times New Roman" w:eastAsia="Times New Roman" w:hAnsi="Times New Roman" w:cs="Times New Roman"/>
                <w:snapToGrid w:val="0"/>
                <w:sz w:val="24"/>
                <w:szCs w:val="24"/>
              </w:rPr>
              <w:lastRenderedPageBreak/>
              <w:t>резултати от дейността на кандидата в резултат на едновременното изпълнение на съответните дейности или операции.</w:t>
            </w:r>
          </w:p>
        </w:tc>
      </w:tr>
      <w:tr w:rsidR="00C5289A" w:rsidRPr="00570AF4" w:rsidTr="00391455">
        <w:tc>
          <w:tcPr>
            <w:tcW w:w="2110" w:type="dxa"/>
            <w:shd w:val="clear" w:color="auto" w:fill="E6E6E6"/>
          </w:tcPr>
          <w:p w:rsidR="004406ED"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Колективни инвестиции</w:t>
            </w:r>
          </w:p>
          <w:p w:rsidR="00C5289A" w:rsidRPr="00570AF4" w:rsidRDefault="00C5289A" w:rsidP="00570AF4">
            <w:pPr>
              <w:spacing w:after="0"/>
              <w:rPr>
                <w:rFonts w:ascii="Times New Roman" w:eastAsia="Times New Roman" w:hAnsi="Times New Roman" w:cs="Times New Roman"/>
                <w:sz w:val="24"/>
                <w:szCs w:val="24"/>
              </w:rPr>
            </w:pPr>
          </w:p>
        </w:tc>
        <w:tc>
          <w:tcPr>
            <w:tcW w:w="7178" w:type="dxa"/>
            <w:shd w:val="clear" w:color="auto" w:fill="F3F3F3"/>
          </w:tcPr>
          <w:p w:rsidR="00D45B42"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Инвестиции, представени от признати групи или организации на производители.</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Междинно плащане</w:t>
            </w:r>
          </w:p>
        </w:tc>
        <w:tc>
          <w:tcPr>
            <w:tcW w:w="7178" w:type="dxa"/>
            <w:shd w:val="clear" w:color="auto" w:fill="F3F3F3"/>
          </w:tcPr>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Плащане за обособена част от одобрената и извършена инвестиция.</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Международно признат стандарт</w:t>
            </w:r>
          </w:p>
        </w:tc>
        <w:tc>
          <w:tcPr>
            <w:tcW w:w="7178" w:type="dxa"/>
            <w:shd w:val="clear" w:color="auto" w:fill="F3F3F3"/>
          </w:tcPr>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Млади земеделски стопани</w:t>
            </w:r>
          </w:p>
        </w:tc>
        <w:tc>
          <w:tcPr>
            <w:tcW w:w="7178" w:type="dxa"/>
            <w:shd w:val="clear" w:color="auto" w:fill="F3F3F3"/>
          </w:tcPr>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Лица, които към момента на подаване на проектното предложение са на възраст между 18 и не повече от 40 навършени години (включително) и притежават съответни професионални умения и компетентности и се установяват за пръв път като ръководител на земеделско стопанство или вече са се установили през петте години преди подаване на проектното предложение. Когато кандидати за подпомагане са юридически лица, за да се считат за млади земеделски стопани, те следва да отговарят на изискванията по чл. 2 от Делегиран регламент № 807/2014 на Комисията от 11 март 2014 г. за допълнение на някои разпоредби на Регламент (ЕС) на Европейския парламент и на Съвета. Не са млади земеделски стопани кандидати – юридически лица, чийто мажоритарен дял от капитала е придобит от физическото лице на възраст между 18 и 40 ненавършени години след 1 януари 2014 г. Установяването като ръководител на земеделско стопанство е настъпването на първото от следните събития:</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а) регистрация на кандидата (физическо или юридическо лице), на друго юридическо лице, чийто мажоритарен дял от капитала се притежава от кандидата, на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 за първи път като земеделски стопанин по ЗПЗП;</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б) започване на отглеждане на животни в животновъден обект – собствен или нает от кандидата (физическо или юридическо лице), от друго юридическо лице, чийто мажоритарен дял от капитала се притежава от кандидата, от мажоритарния собственик на дял от капитала на кандидата и/или на юридическо лице, чийто мажоритарен дял от капитала се притежава от мажоритарния собственик на дял от капитала на кандидата;</w:t>
            </w:r>
          </w:p>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в) стопанисване на земя с цел производство на земеделска или животинска продукция от страна на кандидата (физическо или юридическо лице), друго юридическо лице, чийто мажоритарен дял се притежава от кандидата, мажоритарния собственик на дял от капитала на кандидата и/или юридическо лице, чийто </w:t>
            </w:r>
            <w:r w:rsidRPr="00570AF4">
              <w:rPr>
                <w:rFonts w:ascii="Times New Roman" w:eastAsia="Times New Roman" w:hAnsi="Times New Roman" w:cs="Times New Roman"/>
                <w:snapToGrid w:val="0"/>
                <w:sz w:val="24"/>
                <w:szCs w:val="24"/>
              </w:rPr>
              <w:lastRenderedPageBreak/>
              <w:t>мажоритарен дял от капитала се притежава от мажоритарния собственик на дял от капитала на кандидата.</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Напоявани площи</w:t>
            </w:r>
          </w:p>
        </w:tc>
        <w:tc>
          <w:tcPr>
            <w:tcW w:w="7178" w:type="dxa"/>
            <w:shd w:val="clear" w:color="auto" w:fill="F3F3F3"/>
          </w:tcPr>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Площи, в които към 1 януари 2007 г. е действала система за напояване.</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Независими оферти</w:t>
            </w:r>
          </w:p>
        </w:tc>
        <w:tc>
          <w:tcPr>
            <w:tcW w:w="7178" w:type="dxa"/>
            <w:shd w:val="clear" w:color="auto" w:fill="F3F3F3"/>
          </w:tcPr>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а) едното участва в управлението на дружеството на другото;</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б) </w:t>
            </w:r>
            <w:proofErr w:type="spellStart"/>
            <w:r w:rsidRPr="00570AF4">
              <w:rPr>
                <w:rFonts w:ascii="Times New Roman" w:eastAsia="Times New Roman" w:hAnsi="Times New Roman" w:cs="Times New Roman"/>
                <w:snapToGrid w:val="0"/>
                <w:sz w:val="24"/>
                <w:szCs w:val="24"/>
              </w:rPr>
              <w:t>съдружници</w:t>
            </w:r>
            <w:proofErr w:type="spellEnd"/>
            <w:r w:rsidRPr="00570AF4">
              <w:rPr>
                <w:rFonts w:ascii="Times New Roman" w:eastAsia="Times New Roman" w:hAnsi="Times New Roman" w:cs="Times New Roman"/>
                <w:snapToGrid w:val="0"/>
                <w:sz w:val="24"/>
                <w:szCs w:val="24"/>
              </w:rPr>
              <w:t>;</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 съвместно контролират пряко трето лице;</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Непреодолима сила и извънредни обстоятелства</w:t>
            </w:r>
          </w:p>
        </w:tc>
        <w:tc>
          <w:tcPr>
            <w:tcW w:w="7178" w:type="dxa"/>
            <w:shd w:val="clear" w:color="auto" w:fill="F3F3F3"/>
          </w:tcPr>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Нередност</w:t>
            </w:r>
          </w:p>
        </w:tc>
        <w:tc>
          <w:tcPr>
            <w:tcW w:w="7178" w:type="dxa"/>
            <w:shd w:val="clear" w:color="auto" w:fill="F3F3F3"/>
          </w:tcPr>
          <w:p w:rsidR="00EA1E54" w:rsidRPr="00570AF4" w:rsidRDefault="004406ED" w:rsidP="00570AF4">
            <w:pPr>
              <w:spacing w:after="0" w:line="240" w:lineRule="auto"/>
              <w:rPr>
                <w:rFonts w:ascii="Times New Roman" w:hAnsi="Times New Roman" w:cs="Times New Roman"/>
                <w:sz w:val="24"/>
                <w:szCs w:val="24"/>
              </w:rPr>
            </w:pPr>
            <w:r w:rsidRPr="00570AF4">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Нетно увеличение на напояваната площ</w:t>
            </w:r>
          </w:p>
        </w:tc>
        <w:tc>
          <w:tcPr>
            <w:tcW w:w="7178" w:type="dxa"/>
            <w:shd w:val="clear" w:color="auto" w:fill="F3F3F3"/>
          </w:tcPr>
          <w:p w:rsidR="00EA1E54"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EA1E54" w:rsidRPr="00570AF4" w:rsidTr="00391455">
        <w:tc>
          <w:tcPr>
            <w:tcW w:w="2110" w:type="dxa"/>
            <w:shd w:val="clear" w:color="auto" w:fill="E6E6E6"/>
          </w:tcPr>
          <w:p w:rsidR="00EA1E54" w:rsidRPr="00570AF4" w:rsidRDefault="004406E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Обособена част от инвестицията</w:t>
            </w:r>
          </w:p>
        </w:tc>
        <w:tc>
          <w:tcPr>
            <w:tcW w:w="7178" w:type="dxa"/>
            <w:shd w:val="clear" w:color="auto" w:fill="F3F3F3"/>
          </w:tcPr>
          <w:p w:rsidR="004406ED" w:rsidRPr="00570AF4" w:rsidRDefault="004406E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Завършен етап на изпълнение на инвестицията, който е обособен и е доведен до самостоятелна степен на завършеност.</w:t>
            </w:r>
          </w:p>
          <w:p w:rsidR="00EA1E54" w:rsidRPr="00570AF4" w:rsidRDefault="00EA1E54" w:rsidP="00570AF4">
            <w:pPr>
              <w:spacing w:after="0" w:line="240" w:lineRule="auto"/>
              <w:rPr>
                <w:rFonts w:ascii="Times New Roman" w:eastAsia="Times New Roman" w:hAnsi="Times New Roman" w:cs="Times New Roman"/>
                <w:snapToGrid w:val="0"/>
                <w:sz w:val="24"/>
                <w:szCs w:val="24"/>
              </w:rPr>
            </w:pPr>
          </w:p>
        </w:tc>
      </w:tr>
      <w:tr w:rsidR="00EA1E54" w:rsidRPr="00570AF4" w:rsidTr="00391455">
        <w:tc>
          <w:tcPr>
            <w:tcW w:w="2110" w:type="dxa"/>
            <w:shd w:val="clear" w:color="auto" w:fill="E6E6E6"/>
          </w:tcPr>
          <w:p w:rsidR="00EA1E54" w:rsidRPr="00570AF4" w:rsidRDefault="003369AE"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Общият приход/доход за преходната календарна година</w:t>
            </w:r>
          </w:p>
        </w:tc>
        <w:tc>
          <w:tcPr>
            <w:tcW w:w="7178" w:type="dxa"/>
            <w:shd w:val="clear" w:color="auto" w:fill="F3F3F3"/>
          </w:tcPr>
          <w:p w:rsidR="003369AE" w:rsidRPr="00570AF4" w:rsidRDefault="003369AE" w:rsidP="00570AF4">
            <w:pPr>
              <w:widowControl w:val="0"/>
              <w:autoSpaceDE w:val="0"/>
              <w:autoSpaceDN w:val="0"/>
              <w:adjustRightInd w:val="0"/>
              <w:spacing w:after="0" w:line="360" w:lineRule="auto"/>
              <w:ind w:firstLine="540"/>
              <w:rPr>
                <w:rFonts w:ascii="Times New Roman" w:eastAsia="Times New Roman" w:hAnsi="Times New Roman" w:cs="Times New Roman"/>
                <w:sz w:val="24"/>
                <w:szCs w:val="24"/>
                <w:shd w:val="clear" w:color="auto" w:fill="FEFEFE"/>
                <w:lang w:eastAsia="bg-BG"/>
              </w:rPr>
            </w:pPr>
            <w:r w:rsidRPr="00570AF4">
              <w:rPr>
                <w:rFonts w:ascii="Times New Roman" w:eastAsia="Times New Roman" w:hAnsi="Times New Roman" w:cs="Times New Roman"/>
                <w:sz w:val="24"/>
                <w:szCs w:val="24"/>
                <w:shd w:val="clear" w:color="auto" w:fill="FEFEFE"/>
                <w:lang w:eastAsia="bg-BG"/>
              </w:rPr>
              <w:t xml:space="preserve">1. За физическо лице и едноличен търговец - всеки придобит през предходната календарна година (спрямо датата на кандидатстване) доход, който е облагаем по смисъла на чл. 12, ал. 1 </w:t>
            </w:r>
            <w:r w:rsidR="00B146C4">
              <w:rPr>
                <w:rFonts w:ascii="Times New Roman" w:eastAsia="Times New Roman" w:hAnsi="Times New Roman" w:cs="Times New Roman"/>
                <w:sz w:val="24"/>
                <w:szCs w:val="24"/>
                <w:shd w:val="clear" w:color="auto" w:fill="FEFEFE"/>
                <w:lang w:eastAsia="bg-BG"/>
              </w:rPr>
              <w:t xml:space="preserve"> и ал.2 </w:t>
            </w:r>
            <w:r w:rsidRPr="00570AF4">
              <w:rPr>
                <w:rFonts w:ascii="Times New Roman" w:eastAsia="Times New Roman" w:hAnsi="Times New Roman" w:cs="Times New Roman"/>
                <w:sz w:val="24"/>
                <w:szCs w:val="24"/>
                <w:shd w:val="clear" w:color="auto" w:fill="FEFEFE"/>
                <w:lang w:eastAsia="bg-BG"/>
              </w:rPr>
              <w:t>от Закона за данъците върху доходите на физическите лица,</w:t>
            </w:r>
            <w:r w:rsidRPr="00570AF4">
              <w:rPr>
                <w:rFonts w:ascii="Times New Roman" w:eastAsia="Times New Roman" w:hAnsi="Times New Roman" w:cs="Times New Roman"/>
                <w:sz w:val="24"/>
                <w:szCs w:val="24"/>
                <w:lang w:eastAsia="bg-BG"/>
              </w:rPr>
              <w:t xml:space="preserve"> </w:t>
            </w:r>
            <w:r w:rsidRPr="00570AF4">
              <w:rPr>
                <w:rFonts w:ascii="Times New Roman" w:eastAsia="Times New Roman" w:hAnsi="Times New Roman" w:cs="Times New Roman"/>
                <w:sz w:val="24"/>
                <w:szCs w:val="24"/>
                <w:shd w:val="clear" w:color="auto" w:fill="FEFEFE"/>
                <w:lang w:eastAsia="bg-BG"/>
              </w:rPr>
              <w:t xml:space="preserve">в т.ч. доходи от стопанска дейност като едноличен търговец, както и доходи, подлежащи на облагане с патентен данък по реда на Закона за местните данъци и такси, както и доходи, получени от задължително осигуряване и пенсиите за осигурителен стаж и възраст през предходната календарна </w:t>
            </w:r>
            <w:r w:rsidRPr="00570AF4">
              <w:rPr>
                <w:rFonts w:ascii="Times New Roman" w:eastAsia="Times New Roman" w:hAnsi="Times New Roman" w:cs="Times New Roman"/>
                <w:sz w:val="24"/>
                <w:szCs w:val="24"/>
                <w:shd w:val="clear" w:color="auto" w:fill="FEFEFE"/>
                <w:lang w:eastAsia="bg-BG"/>
              </w:rPr>
              <w:lastRenderedPageBreak/>
              <w:t>година;</w:t>
            </w:r>
          </w:p>
          <w:p w:rsidR="003369AE" w:rsidRPr="00570AF4" w:rsidRDefault="003369AE" w:rsidP="00570AF4">
            <w:pPr>
              <w:widowControl w:val="0"/>
              <w:autoSpaceDE w:val="0"/>
              <w:autoSpaceDN w:val="0"/>
              <w:adjustRightInd w:val="0"/>
              <w:spacing w:after="0" w:line="360" w:lineRule="auto"/>
              <w:ind w:firstLine="540"/>
              <w:rPr>
                <w:rFonts w:ascii="Times New Roman" w:eastAsia="Times New Roman" w:hAnsi="Times New Roman" w:cs="Times New Roman"/>
                <w:sz w:val="24"/>
                <w:szCs w:val="24"/>
                <w:shd w:val="clear" w:color="auto" w:fill="FEFEFE"/>
                <w:lang w:eastAsia="bg-BG"/>
              </w:rPr>
            </w:pPr>
            <w:r w:rsidRPr="00570AF4">
              <w:rPr>
                <w:rFonts w:ascii="Times New Roman" w:eastAsia="Times New Roman" w:hAnsi="Times New Roman" w:cs="Times New Roman"/>
                <w:sz w:val="24"/>
                <w:szCs w:val="24"/>
                <w:shd w:val="clear" w:color="auto" w:fill="FEFEFE"/>
                <w:lang w:eastAsia="bg-BG"/>
              </w:rPr>
              <w:t>2. за юридическо лице - общ приход са всички парични постъпления, получени от стопанския субект от редовни или случайни, постоянни или временни източници през предходната календарна година (спрямо датата на кандидатстване).</w:t>
            </w:r>
          </w:p>
          <w:p w:rsidR="00EA1E54" w:rsidRPr="00570AF4" w:rsidRDefault="00EA1E54" w:rsidP="00570AF4">
            <w:pPr>
              <w:pStyle w:val="FootnoteText"/>
              <w:rPr>
                <w:rFonts w:ascii="Times New Roman" w:hAnsi="Times New Roman" w:cs="Times New Roman"/>
                <w:sz w:val="24"/>
                <w:szCs w:val="24"/>
                <w:lang w:val="en-US"/>
              </w:rPr>
            </w:pPr>
          </w:p>
        </w:tc>
      </w:tr>
      <w:tr w:rsidR="0012614C" w:rsidRPr="00570AF4" w:rsidTr="00391455">
        <w:tc>
          <w:tcPr>
            <w:tcW w:w="2110" w:type="dxa"/>
            <w:shd w:val="clear" w:color="auto" w:fill="E6E6E6"/>
          </w:tcPr>
          <w:p w:rsidR="0012614C" w:rsidRPr="00570AF4" w:rsidRDefault="003369AE"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Оперативни разходи</w:t>
            </w:r>
          </w:p>
        </w:tc>
        <w:tc>
          <w:tcPr>
            <w:tcW w:w="7178" w:type="dxa"/>
            <w:shd w:val="clear" w:color="auto" w:fill="F3F3F3"/>
          </w:tcPr>
          <w:p w:rsidR="0012614C" w:rsidRPr="00570AF4" w:rsidRDefault="003369AE" w:rsidP="00570AF4">
            <w:pPr>
              <w:pStyle w:val="FootnoteText"/>
              <w:rPr>
                <w:rFonts w:ascii="Times New Roman" w:hAnsi="Times New Roman" w:cs="Times New Roman"/>
                <w:sz w:val="24"/>
                <w:szCs w:val="24"/>
              </w:rPr>
            </w:pPr>
            <w:r w:rsidRPr="00570AF4">
              <w:rPr>
                <w:rFonts w:ascii="Times New Roman" w:hAnsi="Times New Roman" w:cs="Times New Roman"/>
                <w:sz w:val="24"/>
                <w:szCs w:val="24"/>
              </w:rPr>
              <w:t>Административните разходи и разходите, свързани с поддръжка и експлоатация на активите.</w:t>
            </w:r>
          </w:p>
        </w:tc>
      </w:tr>
      <w:tr w:rsidR="00EA1E54" w:rsidRPr="00570AF4" w:rsidTr="00391455">
        <w:tc>
          <w:tcPr>
            <w:tcW w:w="2110" w:type="dxa"/>
            <w:shd w:val="clear" w:color="auto" w:fill="E6E6E6"/>
          </w:tcPr>
          <w:p w:rsidR="00EA1E54" w:rsidRPr="00570AF4" w:rsidRDefault="003369AE" w:rsidP="00570AF4">
            <w:pPr>
              <w:spacing w:after="0" w:line="240" w:lineRule="auto"/>
              <w:rPr>
                <w:rFonts w:ascii="Times New Roman" w:hAnsi="Times New Roman" w:cs="Times New Roman"/>
                <w:b/>
                <w:sz w:val="24"/>
                <w:szCs w:val="24"/>
              </w:rPr>
            </w:pPr>
            <w:r w:rsidRPr="00570AF4">
              <w:rPr>
                <w:rFonts w:ascii="Times New Roman" w:hAnsi="Times New Roman" w:cs="Times New Roman"/>
                <w:b/>
                <w:sz w:val="24"/>
                <w:szCs w:val="24"/>
              </w:rPr>
              <w:t>Организации и/или групи на земеделски производители</w:t>
            </w:r>
          </w:p>
        </w:tc>
        <w:tc>
          <w:tcPr>
            <w:tcW w:w="7178" w:type="dxa"/>
            <w:shd w:val="clear" w:color="auto" w:fill="F3F3F3"/>
          </w:tcPr>
          <w:p w:rsidR="003369AE" w:rsidRPr="00570AF4" w:rsidRDefault="003369AE"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Организациите и/или групите, признати от министъра на земеделието, храните и горите.</w:t>
            </w:r>
          </w:p>
          <w:p w:rsidR="007B5FF0" w:rsidRPr="00570AF4" w:rsidRDefault="003369AE" w:rsidP="00570AF4">
            <w:pPr>
              <w:tabs>
                <w:tab w:val="left" w:pos="1065"/>
              </w:tabs>
              <w:spacing w:after="0"/>
              <w:rPr>
                <w:rFonts w:ascii="Times New Roman" w:eastAsia="Times New Roman" w:hAnsi="Times New Roman" w:cs="Times New Roman"/>
                <w:sz w:val="24"/>
                <w:szCs w:val="24"/>
              </w:rPr>
            </w:pPr>
            <w:r w:rsidRPr="00570AF4">
              <w:rPr>
                <w:rFonts w:ascii="Times New Roman" w:eastAsia="Times New Roman" w:hAnsi="Times New Roman" w:cs="Times New Roman"/>
                <w:sz w:val="24"/>
                <w:szCs w:val="24"/>
              </w:rPr>
              <w:tab/>
            </w:r>
          </w:p>
        </w:tc>
      </w:tr>
      <w:tr w:rsidR="006D243B" w:rsidRPr="00570AF4" w:rsidTr="00391455">
        <w:tc>
          <w:tcPr>
            <w:tcW w:w="2110" w:type="dxa"/>
            <w:shd w:val="clear" w:color="auto" w:fill="E6E6E6"/>
          </w:tcPr>
          <w:p w:rsidR="006D243B" w:rsidRPr="00570AF4" w:rsidRDefault="001D48D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Отпадъчни продукти</w:t>
            </w:r>
          </w:p>
        </w:tc>
        <w:tc>
          <w:tcPr>
            <w:tcW w:w="7178" w:type="dxa"/>
            <w:shd w:val="clear" w:color="auto" w:fill="F3F3F3"/>
          </w:tcPr>
          <w:p w:rsidR="006D243B" w:rsidRPr="00570AF4" w:rsidRDefault="001D48D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443FF4" w:rsidRPr="00570AF4" w:rsidTr="00391455">
        <w:tc>
          <w:tcPr>
            <w:tcW w:w="2110" w:type="dxa"/>
            <w:shd w:val="clear" w:color="auto" w:fill="E6E6E6"/>
          </w:tcPr>
          <w:p w:rsidR="00443FF4" w:rsidRPr="00570AF4" w:rsidRDefault="001D48D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Полезна топлоенергия</w:t>
            </w:r>
          </w:p>
        </w:tc>
        <w:tc>
          <w:tcPr>
            <w:tcW w:w="7178" w:type="dxa"/>
            <w:shd w:val="clear" w:color="auto" w:fill="F3F3F3"/>
          </w:tcPr>
          <w:p w:rsidR="00443FF4" w:rsidRPr="00570AF4" w:rsidRDefault="001D48D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 (ОВ L 052, 21.02.2004 г. и Българско специално издание: глава 12, том 2).</w:t>
            </w:r>
          </w:p>
        </w:tc>
      </w:tr>
      <w:tr w:rsidR="00443FF4" w:rsidRPr="00570AF4" w:rsidTr="00391455">
        <w:tc>
          <w:tcPr>
            <w:tcW w:w="2110" w:type="dxa"/>
            <w:shd w:val="clear" w:color="auto" w:fill="E6E6E6"/>
          </w:tcPr>
          <w:p w:rsidR="00443FF4" w:rsidRPr="00570AF4" w:rsidRDefault="001D48DD" w:rsidP="00570AF4">
            <w:pPr>
              <w:spacing w:after="0" w:line="240" w:lineRule="auto"/>
              <w:rPr>
                <w:rFonts w:ascii="Times New Roman" w:eastAsia="Times New Roman" w:hAnsi="Times New Roman" w:cs="Times New Roman"/>
                <w:b/>
                <w:snapToGrid w:val="0"/>
                <w:sz w:val="24"/>
                <w:szCs w:val="24"/>
              </w:rPr>
            </w:pPr>
            <w:proofErr w:type="spellStart"/>
            <w:r w:rsidRPr="00570AF4">
              <w:rPr>
                <w:rFonts w:ascii="Times New Roman" w:eastAsia="Times New Roman" w:hAnsi="Times New Roman" w:cs="Times New Roman"/>
                <w:b/>
                <w:snapToGrid w:val="0"/>
                <w:sz w:val="24"/>
                <w:szCs w:val="24"/>
              </w:rPr>
              <w:t>Подмярка</w:t>
            </w:r>
            <w:proofErr w:type="spellEnd"/>
          </w:p>
        </w:tc>
        <w:tc>
          <w:tcPr>
            <w:tcW w:w="7178" w:type="dxa"/>
            <w:shd w:val="clear" w:color="auto" w:fill="F3F3F3"/>
          </w:tcPr>
          <w:p w:rsidR="00443FF4" w:rsidRPr="00570AF4" w:rsidRDefault="001D48D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93063E" w:rsidRPr="00570AF4" w:rsidTr="00391455">
        <w:tc>
          <w:tcPr>
            <w:tcW w:w="2110" w:type="dxa"/>
            <w:shd w:val="clear" w:color="auto" w:fill="E6E6E6"/>
          </w:tcPr>
          <w:p w:rsidR="0093063E" w:rsidRPr="00570AF4" w:rsidRDefault="001D48D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Подготовка на продукцията за продажба</w:t>
            </w:r>
          </w:p>
        </w:tc>
        <w:tc>
          <w:tcPr>
            <w:tcW w:w="7178" w:type="dxa"/>
            <w:shd w:val="clear" w:color="auto" w:fill="F3F3F3"/>
          </w:tcPr>
          <w:p w:rsidR="0093063E" w:rsidRPr="00570AF4" w:rsidRDefault="001D48D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Включва една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93063E" w:rsidRPr="00570AF4" w:rsidTr="00391455">
        <w:tc>
          <w:tcPr>
            <w:tcW w:w="2110" w:type="dxa"/>
            <w:shd w:val="clear" w:color="auto" w:fill="E6E6E6"/>
          </w:tcPr>
          <w:p w:rsidR="0093063E" w:rsidRPr="00570AF4" w:rsidRDefault="001D48DD" w:rsidP="00570AF4">
            <w:pPr>
              <w:spacing w:after="0" w:line="240" w:lineRule="auto"/>
              <w:rPr>
                <w:rFonts w:ascii="Times New Roman" w:eastAsia="Times New Roman" w:hAnsi="Times New Roman" w:cs="Times New Roman"/>
                <w:b/>
                <w:snapToGrid w:val="0"/>
                <w:sz w:val="24"/>
                <w:szCs w:val="24"/>
              </w:rPr>
            </w:pPr>
            <w:proofErr w:type="spellStart"/>
            <w:r w:rsidRPr="00570AF4">
              <w:rPr>
                <w:rFonts w:ascii="Times New Roman" w:eastAsia="Times New Roman" w:hAnsi="Times New Roman" w:cs="Times New Roman"/>
                <w:b/>
                <w:snapToGrid w:val="0"/>
                <w:sz w:val="24"/>
                <w:szCs w:val="24"/>
              </w:rPr>
              <w:t>Предпроектно</w:t>
            </w:r>
            <w:proofErr w:type="spellEnd"/>
            <w:r w:rsidRPr="00570AF4">
              <w:rPr>
                <w:rFonts w:ascii="Times New Roman" w:eastAsia="Times New Roman" w:hAnsi="Times New Roman" w:cs="Times New Roman"/>
                <w:b/>
                <w:snapToGrid w:val="0"/>
                <w:sz w:val="24"/>
                <w:szCs w:val="24"/>
              </w:rPr>
              <w:t xml:space="preserve"> проучване</w:t>
            </w:r>
          </w:p>
        </w:tc>
        <w:tc>
          <w:tcPr>
            <w:tcW w:w="7178" w:type="dxa"/>
            <w:shd w:val="clear" w:color="auto" w:fill="F3F3F3"/>
          </w:tcPr>
          <w:p w:rsidR="0093063E" w:rsidRPr="00570AF4" w:rsidRDefault="001D48D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Анализите по чл. 29, ал. 8, становища, резюмета и доклади за енергийна ефективност и доклади за екологична устойчивост на проекта.</w:t>
            </w:r>
          </w:p>
        </w:tc>
      </w:tr>
      <w:tr w:rsidR="0093063E" w:rsidRPr="00570AF4" w:rsidTr="00391455">
        <w:tc>
          <w:tcPr>
            <w:tcW w:w="2110" w:type="dxa"/>
            <w:shd w:val="clear" w:color="auto" w:fill="E6E6E6"/>
          </w:tcPr>
          <w:p w:rsidR="0093063E" w:rsidRPr="00570AF4" w:rsidRDefault="001D48D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Преработка на селскостопански продукти</w:t>
            </w:r>
          </w:p>
        </w:tc>
        <w:tc>
          <w:tcPr>
            <w:tcW w:w="7178" w:type="dxa"/>
            <w:shd w:val="clear" w:color="auto" w:fill="F3F3F3"/>
          </w:tcPr>
          <w:p w:rsidR="0093063E" w:rsidRPr="00570AF4" w:rsidRDefault="001D48DD" w:rsidP="00570AF4">
            <w:pPr>
              <w:tabs>
                <w:tab w:val="left" w:pos="1650"/>
              </w:tabs>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0C2624" w:rsidRPr="00570AF4" w:rsidTr="00391455">
        <w:tc>
          <w:tcPr>
            <w:tcW w:w="2110" w:type="dxa"/>
            <w:shd w:val="clear" w:color="auto" w:fill="E6E6E6"/>
          </w:tcPr>
          <w:p w:rsidR="000C2624" w:rsidRPr="00570AF4" w:rsidRDefault="001D48D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Принос в натура</w:t>
            </w:r>
          </w:p>
        </w:tc>
        <w:tc>
          <w:tcPr>
            <w:tcW w:w="7178" w:type="dxa"/>
            <w:shd w:val="clear" w:color="auto" w:fill="F3F3F3"/>
          </w:tcPr>
          <w:p w:rsidR="000C2624" w:rsidRPr="00570AF4" w:rsidRDefault="001D48D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EB0D94" w:rsidRPr="00570AF4" w:rsidTr="00391455">
        <w:tc>
          <w:tcPr>
            <w:tcW w:w="2110" w:type="dxa"/>
            <w:shd w:val="clear" w:color="auto" w:fill="E6E6E6"/>
          </w:tcPr>
          <w:p w:rsidR="00EB0D94" w:rsidRPr="00570AF4" w:rsidRDefault="001D48D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 xml:space="preserve">Приход/доход от земеделска дейност за </w:t>
            </w:r>
            <w:r w:rsidRPr="00570AF4">
              <w:rPr>
                <w:rFonts w:ascii="Times New Roman" w:eastAsia="Times New Roman" w:hAnsi="Times New Roman" w:cs="Times New Roman"/>
                <w:b/>
                <w:snapToGrid w:val="0"/>
                <w:sz w:val="24"/>
                <w:szCs w:val="24"/>
              </w:rPr>
              <w:lastRenderedPageBreak/>
              <w:t>преходната календарна година</w:t>
            </w:r>
          </w:p>
        </w:tc>
        <w:tc>
          <w:tcPr>
            <w:tcW w:w="7178" w:type="dxa"/>
            <w:shd w:val="clear" w:color="auto" w:fill="F3F3F3"/>
          </w:tcPr>
          <w:p w:rsidR="00EB0D94" w:rsidRPr="00570AF4" w:rsidRDefault="001D48DD" w:rsidP="00570AF4">
            <w:pPr>
              <w:spacing w:after="0"/>
              <w:ind w:firstLine="708"/>
              <w:rPr>
                <w:rFonts w:ascii="Times New Roman" w:eastAsia="Times New Roman" w:hAnsi="Times New Roman" w:cs="Times New Roman"/>
                <w:sz w:val="24"/>
                <w:szCs w:val="24"/>
              </w:rPr>
            </w:pPr>
            <w:r w:rsidRPr="00570AF4">
              <w:rPr>
                <w:rFonts w:ascii="Times New Roman" w:eastAsia="Times New Roman" w:hAnsi="Times New Roman" w:cs="Times New Roman"/>
                <w:snapToGrid w:val="0"/>
                <w:sz w:val="24"/>
                <w:szCs w:val="24"/>
              </w:rPr>
              <w:lastRenderedPageBreak/>
              <w:t xml:space="preserve">приход/доход, придобит от кандидата през предходната календарна година (спрямо датата на кандидатстване) от </w:t>
            </w:r>
            <w:r w:rsidRPr="00570AF4">
              <w:rPr>
                <w:rFonts w:ascii="Times New Roman" w:eastAsia="Times New Roman" w:hAnsi="Times New Roman" w:cs="Times New Roman"/>
                <w:snapToGrid w:val="0"/>
                <w:sz w:val="24"/>
                <w:szCs w:val="24"/>
              </w:rPr>
              <w:lastRenderedPageBreak/>
              <w:t xml:space="preserve">дейността му за производство на непреработени земеделски продукти и на преработени продукти в резултат на преработка на собствени земеделски продукти, в т.ч. получена финансова помощ по мерките от Програмата за развитие на селските райони 2007 - 2013 г. и Програмата за развитие на селските райони 2014 - 2020 г., схемите за директни плащания, националната програма за пчеларство, националната програма за подпомагане на </w:t>
            </w:r>
            <w:proofErr w:type="spellStart"/>
            <w:r w:rsidRPr="00570AF4">
              <w:rPr>
                <w:rFonts w:ascii="Times New Roman" w:eastAsia="Times New Roman" w:hAnsi="Times New Roman" w:cs="Times New Roman"/>
                <w:snapToGrid w:val="0"/>
                <w:sz w:val="24"/>
                <w:szCs w:val="24"/>
              </w:rPr>
              <w:t>лозаро-винарския</w:t>
            </w:r>
            <w:proofErr w:type="spellEnd"/>
            <w:r w:rsidRPr="00570AF4">
              <w:rPr>
                <w:rFonts w:ascii="Times New Roman" w:eastAsia="Times New Roman" w:hAnsi="Times New Roman" w:cs="Times New Roman"/>
                <w:snapToGrid w:val="0"/>
                <w:sz w:val="24"/>
                <w:szCs w:val="24"/>
              </w:rPr>
              <w:t xml:space="preserve"> сектор и други национални схеми за подпомагане, директно свързани със земеделските дейности на кандидата. </w:t>
            </w:r>
          </w:p>
        </w:tc>
      </w:tr>
      <w:tr w:rsidR="007B2C0A" w:rsidRPr="00570AF4" w:rsidTr="00391455">
        <w:tc>
          <w:tcPr>
            <w:tcW w:w="2110" w:type="dxa"/>
            <w:shd w:val="clear" w:color="auto" w:fill="E6E6E6"/>
          </w:tcPr>
          <w:p w:rsidR="007B2C0A" w:rsidRPr="00570AF4" w:rsidRDefault="009765B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Проверка на място</w:t>
            </w:r>
          </w:p>
        </w:tc>
        <w:tc>
          <w:tcPr>
            <w:tcW w:w="7178" w:type="dxa"/>
            <w:shd w:val="clear" w:color="auto" w:fill="F3F3F3"/>
          </w:tcPr>
          <w:p w:rsidR="007B2C0A" w:rsidRPr="00570AF4" w:rsidRDefault="009765B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Проверка по смисъла на Регламент (ЕС) № 809/2014.</w:t>
            </w:r>
          </w:p>
        </w:tc>
      </w:tr>
      <w:tr w:rsidR="001D48DD" w:rsidRPr="00570AF4" w:rsidTr="00391455">
        <w:tc>
          <w:tcPr>
            <w:tcW w:w="2110" w:type="dxa"/>
            <w:shd w:val="clear" w:color="auto" w:fill="E6E6E6"/>
          </w:tcPr>
          <w:p w:rsidR="001D48DD" w:rsidRPr="00570AF4" w:rsidRDefault="009765B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Проект</w:t>
            </w:r>
          </w:p>
        </w:tc>
        <w:tc>
          <w:tcPr>
            <w:tcW w:w="7178" w:type="dxa"/>
            <w:shd w:val="clear" w:color="auto" w:fill="F3F3F3"/>
          </w:tcPr>
          <w:p w:rsidR="001D48DD" w:rsidRPr="00570AF4" w:rsidRDefault="009765B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Формуляр за кандидатстване заедно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w:t>
            </w:r>
          </w:p>
        </w:tc>
      </w:tr>
      <w:tr w:rsidR="001D48DD" w:rsidRPr="00570AF4" w:rsidTr="00391455">
        <w:tc>
          <w:tcPr>
            <w:tcW w:w="2110" w:type="dxa"/>
            <w:shd w:val="clear" w:color="auto" w:fill="E6E6E6"/>
          </w:tcPr>
          <w:p w:rsidR="001D48DD" w:rsidRPr="00570AF4" w:rsidRDefault="009765B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Професионални умения и компетентности</w:t>
            </w:r>
          </w:p>
        </w:tc>
        <w:tc>
          <w:tcPr>
            <w:tcW w:w="7178" w:type="dxa"/>
            <w:shd w:val="clear" w:color="auto" w:fill="F3F3F3"/>
          </w:tcPr>
          <w:p w:rsidR="009765BD" w:rsidRPr="00570AF4" w:rsidRDefault="009765B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Завършено средно или висше образование в областта на селското стопанство или ветеринарната медицина, или икономическо образование със земеделска насоченост, или удостоверение за завършен курс от 150 часа в областта на селското стопанство или за завършено обучение от 150 часа по част от професия или получена степен на професионална квалификация по професии и специалности от професионално направление с код 621 "Растениевъдство и животновъдство" или с код 3451203 "Земеделско стопанство", или професионално направление с код 640 "Ветеринарна медицина". Удостоверението за завършен курс от 150 часа в областта на селското стопанство трябва да бъде издадено от висше училище, акредитирано по Закона за висшето образование с актуални акредитации за обучение по минимум едно от професионалните направления "Растениевъдство", "Растителна защита", "Животновъдство" и "Ветеринарна медицина". Удостоверението за завършено обучение от 150 часа по част от професия или получена степен на професионална квалификация трябва да бъде издадено от някоя от институциите по чл. 18, т. 1, 2, 5 и 6 от Закона за професионалното образование и обучение, които следва да имат право да обучават по специалността, по която е издадено удостоверението, а за центровете за професионално обучение (ЦПО) се изисква и да бъдат вписани в Регистъра на лицензираните ЦПО към Националната агенция за професионално образование и обучение.</w:t>
            </w:r>
          </w:p>
          <w:p w:rsidR="001D48DD" w:rsidRPr="00570AF4" w:rsidRDefault="001D48DD" w:rsidP="00570AF4">
            <w:pPr>
              <w:spacing w:after="0"/>
              <w:rPr>
                <w:rFonts w:ascii="Times New Roman" w:eastAsia="Times New Roman" w:hAnsi="Times New Roman" w:cs="Times New Roman"/>
                <w:sz w:val="24"/>
                <w:szCs w:val="24"/>
              </w:rPr>
            </w:pPr>
          </w:p>
        </w:tc>
      </w:tr>
      <w:tr w:rsidR="001D48DD" w:rsidRPr="00570AF4" w:rsidTr="00391455">
        <w:tc>
          <w:tcPr>
            <w:tcW w:w="2110" w:type="dxa"/>
            <w:shd w:val="clear" w:color="auto" w:fill="E6E6E6"/>
          </w:tcPr>
          <w:p w:rsidR="001D48DD" w:rsidRPr="00570AF4" w:rsidRDefault="009765B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Публична финансова помощ</w:t>
            </w:r>
          </w:p>
        </w:tc>
        <w:tc>
          <w:tcPr>
            <w:tcW w:w="7178" w:type="dxa"/>
            <w:shd w:val="clear" w:color="auto" w:fill="F3F3F3"/>
          </w:tcPr>
          <w:p w:rsidR="001D48DD" w:rsidRPr="00570AF4" w:rsidRDefault="009765B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w:t>
            </w:r>
            <w:r w:rsidRPr="00570AF4">
              <w:rPr>
                <w:rFonts w:ascii="Times New Roman" w:eastAsia="Times New Roman" w:hAnsi="Times New Roman" w:cs="Times New Roman"/>
                <w:snapToGrid w:val="0"/>
                <w:sz w:val="24"/>
                <w:szCs w:val="24"/>
              </w:rPr>
              <w:lastRenderedPageBreak/>
              <w:t>бюджетът на обществени юридически лица или сдружения на една или повече регионални или местни власти, ще се разглежда като обществен дял.</w:t>
            </w:r>
          </w:p>
        </w:tc>
      </w:tr>
      <w:tr w:rsidR="001D48DD" w:rsidRPr="00570AF4" w:rsidTr="00391455">
        <w:tc>
          <w:tcPr>
            <w:tcW w:w="2110" w:type="dxa"/>
            <w:shd w:val="clear" w:color="auto" w:fill="E6E6E6"/>
          </w:tcPr>
          <w:p w:rsidR="001D48DD" w:rsidRPr="00570AF4" w:rsidRDefault="009765BD"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Първично селскостопанско производство</w:t>
            </w:r>
          </w:p>
        </w:tc>
        <w:tc>
          <w:tcPr>
            <w:tcW w:w="7178" w:type="dxa"/>
            <w:shd w:val="clear" w:color="auto" w:fill="F3F3F3"/>
          </w:tcPr>
          <w:p w:rsidR="001D48DD" w:rsidRPr="00570AF4" w:rsidRDefault="009765BD"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Производство на растителните и животинските продукти, изброени в Приложение № I по член 38 от Договора за функциониране на Европейския съюз, както и памук, без да се извършват никакви по-нататъшни операции, с които се променя естеството на тези продукти.</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7178" w:type="dxa"/>
            <w:shd w:val="clear" w:color="auto" w:fill="F3F3F3"/>
          </w:tcPr>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и подготовка на заявки за плащане, включително отчитане и управление на проекта.</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Разходи за инвестиции за обикновена подмяна</w:t>
            </w:r>
          </w:p>
        </w:tc>
        <w:tc>
          <w:tcPr>
            <w:tcW w:w="7178" w:type="dxa"/>
            <w:shd w:val="clear" w:color="auto" w:fill="F3F3F3"/>
          </w:tcPr>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Рефинансиране на лихви</w:t>
            </w:r>
          </w:p>
        </w:tc>
        <w:tc>
          <w:tcPr>
            <w:tcW w:w="7178" w:type="dxa"/>
            <w:shd w:val="clear" w:color="auto" w:fill="F3F3F3"/>
          </w:tcPr>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Стандартен производствен обем</w:t>
            </w:r>
          </w:p>
        </w:tc>
        <w:tc>
          <w:tcPr>
            <w:tcW w:w="7178" w:type="dxa"/>
            <w:shd w:val="clear" w:color="auto" w:fill="F3F3F3"/>
          </w:tcPr>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Стойността на продукцията, която отговаря на средната стойност за даден район за всеки един земеделски продукт, изчислена в евро.</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Стопанства в сектор „животновъдство</w:t>
            </w:r>
            <w:r w:rsidR="00EF2AB9" w:rsidRPr="00570AF4">
              <w:rPr>
                <w:rFonts w:ascii="Times New Roman" w:eastAsia="Times New Roman" w:hAnsi="Times New Roman" w:cs="Times New Roman"/>
                <w:b/>
                <w:snapToGrid w:val="0"/>
                <w:sz w:val="24"/>
                <w:szCs w:val="24"/>
              </w:rPr>
              <w:t>“</w:t>
            </w:r>
          </w:p>
        </w:tc>
        <w:tc>
          <w:tcPr>
            <w:tcW w:w="7178" w:type="dxa"/>
            <w:shd w:val="clear" w:color="auto" w:fill="F3F3F3"/>
          </w:tcPr>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Стопанства при които над 50 % от икономическия размер на стопанството, измерен в СПО се формира от животни.</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Схеми за директно подпомагане</w:t>
            </w:r>
          </w:p>
        </w:tc>
        <w:tc>
          <w:tcPr>
            <w:tcW w:w="7178" w:type="dxa"/>
            <w:shd w:val="clear" w:color="auto" w:fill="F3F3F3"/>
          </w:tcPr>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1D48DD" w:rsidRPr="00570AF4" w:rsidTr="00391455">
        <w:tc>
          <w:tcPr>
            <w:tcW w:w="2110" w:type="dxa"/>
            <w:shd w:val="clear" w:color="auto" w:fill="E6E6E6"/>
          </w:tcPr>
          <w:p w:rsidR="001D48DD" w:rsidRPr="00570AF4" w:rsidRDefault="002E797F"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Съпоставими оферти</w:t>
            </w:r>
          </w:p>
        </w:tc>
        <w:tc>
          <w:tcPr>
            <w:tcW w:w="7178" w:type="dxa"/>
            <w:shd w:val="clear" w:color="auto" w:fill="F3F3F3"/>
          </w:tcPr>
          <w:p w:rsidR="002E797F"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rsidR="002E797F"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rsidR="002E797F"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б) общ капацитет на оборудването – в случаите, когато се кандидатства за разходи за закупуване на оборудване;</w:t>
            </w:r>
          </w:p>
          <w:p w:rsidR="001D48DD" w:rsidRPr="00570AF4" w:rsidRDefault="002E797F"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в) количествено-стойностни сметки – в случаите, когато се кандидатства за разходи за извършване на строително-монтажни работи.</w:t>
            </w:r>
          </w:p>
        </w:tc>
      </w:tr>
      <w:tr w:rsidR="001D48DD" w:rsidRPr="00570AF4" w:rsidTr="00391455">
        <w:tc>
          <w:tcPr>
            <w:tcW w:w="2110" w:type="dxa"/>
            <w:shd w:val="clear" w:color="auto" w:fill="E6E6E6"/>
          </w:tcPr>
          <w:p w:rsidR="001D48DD" w:rsidRPr="00570AF4" w:rsidRDefault="00AD5459"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t>Трайни насаждения</w:t>
            </w:r>
          </w:p>
        </w:tc>
        <w:tc>
          <w:tcPr>
            <w:tcW w:w="7178" w:type="dxa"/>
            <w:shd w:val="clear" w:color="auto" w:fill="F3F3F3"/>
          </w:tcPr>
          <w:p w:rsidR="001D48DD" w:rsidRPr="00570AF4" w:rsidRDefault="00AD5459"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w:t>
            </w:r>
            <w:r w:rsidRPr="00570AF4">
              <w:rPr>
                <w:rFonts w:ascii="Times New Roman" w:eastAsia="Times New Roman" w:hAnsi="Times New Roman" w:cs="Times New Roman"/>
                <w:snapToGrid w:val="0"/>
                <w:sz w:val="24"/>
                <w:szCs w:val="24"/>
              </w:rPr>
              <w:lastRenderedPageBreak/>
              <w:t xml:space="preserve">дървесни видове, използвани за производството на биоенергия, </w:t>
            </w:r>
            <w:proofErr w:type="spellStart"/>
            <w:r w:rsidRPr="00570AF4">
              <w:rPr>
                <w:rFonts w:ascii="Times New Roman" w:eastAsia="Times New Roman" w:hAnsi="Times New Roman" w:cs="Times New Roman"/>
                <w:snapToGrid w:val="0"/>
                <w:sz w:val="24"/>
                <w:szCs w:val="24"/>
              </w:rPr>
              <w:t>ягодоплодни</w:t>
            </w:r>
            <w:proofErr w:type="spellEnd"/>
            <w:r w:rsidRPr="00570AF4">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2E797F" w:rsidRPr="00570AF4" w:rsidTr="00391455">
        <w:tc>
          <w:tcPr>
            <w:tcW w:w="2110" w:type="dxa"/>
            <w:shd w:val="clear" w:color="auto" w:fill="E6E6E6"/>
          </w:tcPr>
          <w:p w:rsidR="002E797F" w:rsidRPr="00570AF4" w:rsidRDefault="00AD5459" w:rsidP="00570AF4">
            <w:pPr>
              <w:spacing w:after="0" w:line="240" w:lineRule="auto"/>
              <w:rPr>
                <w:rFonts w:ascii="Times New Roman" w:eastAsia="Times New Roman" w:hAnsi="Times New Roman" w:cs="Times New Roman"/>
                <w:b/>
                <w:snapToGrid w:val="0"/>
                <w:sz w:val="24"/>
                <w:szCs w:val="24"/>
              </w:rPr>
            </w:pPr>
            <w:r w:rsidRPr="00570AF4">
              <w:rPr>
                <w:rFonts w:ascii="Times New Roman" w:eastAsia="Times New Roman" w:hAnsi="Times New Roman" w:cs="Times New Roman"/>
                <w:b/>
                <w:snapToGrid w:val="0"/>
                <w:sz w:val="24"/>
                <w:szCs w:val="24"/>
              </w:rPr>
              <w:lastRenderedPageBreak/>
              <w:t>Частичен отказ за финансиране</w:t>
            </w:r>
          </w:p>
        </w:tc>
        <w:tc>
          <w:tcPr>
            <w:tcW w:w="7178" w:type="dxa"/>
            <w:shd w:val="clear" w:color="auto" w:fill="F3F3F3"/>
          </w:tcPr>
          <w:p w:rsidR="002E797F" w:rsidRPr="00570AF4" w:rsidRDefault="00AD5459" w:rsidP="00570AF4">
            <w:pPr>
              <w:spacing w:after="0" w:line="240" w:lineRule="auto"/>
              <w:rPr>
                <w:rFonts w:ascii="Times New Roman" w:eastAsia="Times New Roman" w:hAnsi="Times New Roman" w:cs="Times New Roman"/>
                <w:snapToGrid w:val="0"/>
                <w:sz w:val="24"/>
                <w:szCs w:val="24"/>
              </w:rPr>
            </w:pPr>
            <w:r w:rsidRPr="00570AF4">
              <w:rPr>
                <w:rFonts w:ascii="Times New Roman" w:eastAsia="Times New Roman" w:hAnsi="Times New Roman" w:cs="Times New Roman"/>
                <w:snapToGrid w:val="0"/>
                <w:sz w:val="24"/>
                <w:szCs w:val="24"/>
              </w:rPr>
              <w:t>Отказът да се финансират част от заявените разходи на кандидата, които са включени в проект, одобрен за подпомагане по ПРСР 2014 – 2020 г.</w:t>
            </w:r>
          </w:p>
        </w:tc>
      </w:tr>
    </w:tbl>
    <w:p w:rsidR="000C2624" w:rsidRPr="00570AF4" w:rsidRDefault="000C2624" w:rsidP="00570AF4">
      <w:pPr>
        <w:rPr>
          <w:rFonts w:ascii="Times New Roman" w:hAnsi="Times New Roman" w:cs="Times New Roman"/>
          <w:sz w:val="24"/>
          <w:szCs w:val="24"/>
          <w:lang w:val="en-US"/>
        </w:rPr>
      </w:pPr>
    </w:p>
    <w:sectPr w:rsidR="000C2624" w:rsidRPr="00570AF4" w:rsidSect="00B11EA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CC4" w:rsidRDefault="00D56CC4" w:rsidP="00364204">
      <w:pPr>
        <w:spacing w:after="0" w:line="240" w:lineRule="auto"/>
      </w:pPr>
      <w:r>
        <w:separator/>
      </w:r>
    </w:p>
  </w:endnote>
  <w:endnote w:type="continuationSeparator" w:id="0">
    <w:p w:rsidR="00D56CC4" w:rsidRDefault="00D56CC4"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6" w:rsidRDefault="003D33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6" w:rsidRDefault="003D33F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6" w:rsidRDefault="003D33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CC4" w:rsidRDefault="00D56CC4" w:rsidP="00364204">
      <w:pPr>
        <w:spacing w:after="0" w:line="240" w:lineRule="auto"/>
      </w:pPr>
      <w:r>
        <w:separator/>
      </w:r>
    </w:p>
  </w:footnote>
  <w:footnote w:type="continuationSeparator" w:id="0">
    <w:p w:rsidR="00D56CC4" w:rsidRDefault="00D56CC4"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6" w:rsidRDefault="003D33F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AF4" w:rsidRDefault="00570AF4" w:rsidP="00570AF4">
    <w:pPr>
      <w:pStyle w:val="Header"/>
    </w:pPr>
    <w:r>
      <w:rPr>
        <w:noProof/>
        <w:lang w:eastAsia="bg-BG"/>
      </w:rPr>
      <w:drawing>
        <wp:inline distT="0" distB="0" distL="0" distR="0">
          <wp:extent cx="790042" cy="694944"/>
          <wp:effectExtent l="0" t="0" r="0" b="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t xml:space="preserve">                                       </w:t>
    </w:r>
    <w:r w:rsidRPr="00C21856">
      <w:rPr>
        <w:noProof/>
        <w:sz w:val="20"/>
        <w:szCs w:val="20"/>
        <w:lang w:eastAsia="bg-BG"/>
      </w:rPr>
      <w:drawing>
        <wp:inline distT="0" distB="0" distL="0" distR="0">
          <wp:extent cx="1322282" cy="749404"/>
          <wp:effectExtent l="0" t="0" r="0" b="0"/>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0167" cy="748205"/>
                  </a:xfrm>
                  <a:prstGeom prst="rect">
                    <a:avLst/>
                  </a:prstGeom>
                  <a:noFill/>
                  <a:ln>
                    <a:noFill/>
                  </a:ln>
                </pic:spPr>
              </pic:pic>
            </a:graphicData>
          </a:graphic>
        </wp:inline>
      </w:drawing>
    </w:r>
    <w:r>
      <w:t xml:space="preserve">                           </w:t>
    </w:r>
    <w:r w:rsidR="003D33F6">
      <w:rPr>
        <w:noProof/>
        <w:lang w:eastAsia="bg-BG"/>
      </w:rPr>
      <w:drawing>
        <wp:inline distT="0" distB="0" distL="0" distR="0" wp14:anchorId="3C6A2135">
          <wp:extent cx="1524000" cy="866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4000" cy="866775"/>
                  </a:xfrm>
                  <a:prstGeom prst="rect">
                    <a:avLst/>
                  </a:prstGeom>
                  <a:noFill/>
                </pic:spPr>
              </pic:pic>
            </a:graphicData>
          </a:graphic>
        </wp:inline>
      </w:drawing>
    </w:r>
    <w:bookmarkStart w:id="0" w:name="_GoBack"/>
    <w:bookmarkEnd w:id="0"/>
  </w:p>
  <w:p w:rsidR="00364204" w:rsidRDefault="0036420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3F6" w:rsidRDefault="003D33F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15702"/>
    <w:rsid w:val="00020E0B"/>
    <w:rsid w:val="00021DCF"/>
    <w:rsid w:val="00025701"/>
    <w:rsid w:val="0003699C"/>
    <w:rsid w:val="0004005C"/>
    <w:rsid w:val="00045584"/>
    <w:rsid w:val="000568E4"/>
    <w:rsid w:val="00062143"/>
    <w:rsid w:val="000972C6"/>
    <w:rsid w:val="000A0132"/>
    <w:rsid w:val="000B38AD"/>
    <w:rsid w:val="000B6360"/>
    <w:rsid w:val="000C2624"/>
    <w:rsid w:val="000C2A46"/>
    <w:rsid w:val="000C6413"/>
    <w:rsid w:val="000C731A"/>
    <w:rsid w:val="000D040C"/>
    <w:rsid w:val="000D418B"/>
    <w:rsid w:val="000D7F0D"/>
    <w:rsid w:val="000E43C4"/>
    <w:rsid w:val="000E4FFF"/>
    <w:rsid w:val="00112DD2"/>
    <w:rsid w:val="0012614C"/>
    <w:rsid w:val="001375DA"/>
    <w:rsid w:val="00147A80"/>
    <w:rsid w:val="00151B68"/>
    <w:rsid w:val="001566B9"/>
    <w:rsid w:val="001637DA"/>
    <w:rsid w:val="001675DC"/>
    <w:rsid w:val="00176AD2"/>
    <w:rsid w:val="00177AF4"/>
    <w:rsid w:val="001826B1"/>
    <w:rsid w:val="0019069B"/>
    <w:rsid w:val="00195C75"/>
    <w:rsid w:val="001B57E3"/>
    <w:rsid w:val="001B61A7"/>
    <w:rsid w:val="001D48DD"/>
    <w:rsid w:val="00207A2E"/>
    <w:rsid w:val="0021679D"/>
    <w:rsid w:val="002407B4"/>
    <w:rsid w:val="00264156"/>
    <w:rsid w:val="0028583C"/>
    <w:rsid w:val="002938F6"/>
    <w:rsid w:val="00294A6E"/>
    <w:rsid w:val="002A570D"/>
    <w:rsid w:val="002A6026"/>
    <w:rsid w:val="002B20F2"/>
    <w:rsid w:val="002E797F"/>
    <w:rsid w:val="00311B06"/>
    <w:rsid w:val="00311D57"/>
    <w:rsid w:val="00322E2E"/>
    <w:rsid w:val="003234D8"/>
    <w:rsid w:val="0032781F"/>
    <w:rsid w:val="003369AE"/>
    <w:rsid w:val="00350A75"/>
    <w:rsid w:val="00364204"/>
    <w:rsid w:val="00380C77"/>
    <w:rsid w:val="00391455"/>
    <w:rsid w:val="00392471"/>
    <w:rsid w:val="003C0505"/>
    <w:rsid w:val="003D33F6"/>
    <w:rsid w:val="003D5F84"/>
    <w:rsid w:val="003E2225"/>
    <w:rsid w:val="003E7DFA"/>
    <w:rsid w:val="003F4787"/>
    <w:rsid w:val="00403D6C"/>
    <w:rsid w:val="00413F4A"/>
    <w:rsid w:val="00425D7E"/>
    <w:rsid w:val="00434D2A"/>
    <w:rsid w:val="004406ED"/>
    <w:rsid w:val="00443FF4"/>
    <w:rsid w:val="00487B87"/>
    <w:rsid w:val="004A36E6"/>
    <w:rsid w:val="004B3176"/>
    <w:rsid w:val="004E15B4"/>
    <w:rsid w:val="004E6D9F"/>
    <w:rsid w:val="004F5AD0"/>
    <w:rsid w:val="00502F9C"/>
    <w:rsid w:val="005155E4"/>
    <w:rsid w:val="00531E81"/>
    <w:rsid w:val="00562CDD"/>
    <w:rsid w:val="00570AF4"/>
    <w:rsid w:val="00590097"/>
    <w:rsid w:val="005B109C"/>
    <w:rsid w:val="005C3A6A"/>
    <w:rsid w:val="005D31D2"/>
    <w:rsid w:val="005D5D2C"/>
    <w:rsid w:val="005E04B9"/>
    <w:rsid w:val="005E3ADC"/>
    <w:rsid w:val="00624B99"/>
    <w:rsid w:val="0062729B"/>
    <w:rsid w:val="00655AB9"/>
    <w:rsid w:val="00666644"/>
    <w:rsid w:val="006675E7"/>
    <w:rsid w:val="00670AD9"/>
    <w:rsid w:val="00677527"/>
    <w:rsid w:val="00692766"/>
    <w:rsid w:val="006932EA"/>
    <w:rsid w:val="006B35B9"/>
    <w:rsid w:val="006C0465"/>
    <w:rsid w:val="006C7B36"/>
    <w:rsid w:val="006D243B"/>
    <w:rsid w:val="006D5204"/>
    <w:rsid w:val="006E74DD"/>
    <w:rsid w:val="006F5552"/>
    <w:rsid w:val="007110EB"/>
    <w:rsid w:val="007268F0"/>
    <w:rsid w:val="00734B42"/>
    <w:rsid w:val="00741F45"/>
    <w:rsid w:val="0074385D"/>
    <w:rsid w:val="0074665C"/>
    <w:rsid w:val="00764CC7"/>
    <w:rsid w:val="0078029D"/>
    <w:rsid w:val="00784610"/>
    <w:rsid w:val="00785637"/>
    <w:rsid w:val="00792531"/>
    <w:rsid w:val="007B2C0A"/>
    <w:rsid w:val="007B5FF0"/>
    <w:rsid w:val="007B60CB"/>
    <w:rsid w:val="007E18D5"/>
    <w:rsid w:val="007E4C7D"/>
    <w:rsid w:val="007F4E6D"/>
    <w:rsid w:val="007F75CF"/>
    <w:rsid w:val="00805079"/>
    <w:rsid w:val="0080517F"/>
    <w:rsid w:val="0082616B"/>
    <w:rsid w:val="00831362"/>
    <w:rsid w:val="008405AC"/>
    <w:rsid w:val="008423D6"/>
    <w:rsid w:val="00857CD1"/>
    <w:rsid w:val="00862EEE"/>
    <w:rsid w:val="00870D1D"/>
    <w:rsid w:val="00876B7B"/>
    <w:rsid w:val="00880021"/>
    <w:rsid w:val="00884591"/>
    <w:rsid w:val="008A3B65"/>
    <w:rsid w:val="008D22C2"/>
    <w:rsid w:val="008D51DE"/>
    <w:rsid w:val="008E4D35"/>
    <w:rsid w:val="008F2DBC"/>
    <w:rsid w:val="0091098E"/>
    <w:rsid w:val="00911F09"/>
    <w:rsid w:val="009200B0"/>
    <w:rsid w:val="009228BD"/>
    <w:rsid w:val="00924D9B"/>
    <w:rsid w:val="0093063E"/>
    <w:rsid w:val="00934B28"/>
    <w:rsid w:val="00936946"/>
    <w:rsid w:val="0095447F"/>
    <w:rsid w:val="009556F8"/>
    <w:rsid w:val="00960116"/>
    <w:rsid w:val="009765BD"/>
    <w:rsid w:val="009944A0"/>
    <w:rsid w:val="009B112E"/>
    <w:rsid w:val="009D632B"/>
    <w:rsid w:val="009F6C1F"/>
    <w:rsid w:val="009F7BB2"/>
    <w:rsid w:val="00A14845"/>
    <w:rsid w:val="00A1789B"/>
    <w:rsid w:val="00A26835"/>
    <w:rsid w:val="00A26995"/>
    <w:rsid w:val="00A32D97"/>
    <w:rsid w:val="00A33C33"/>
    <w:rsid w:val="00A3678D"/>
    <w:rsid w:val="00A641AE"/>
    <w:rsid w:val="00A70046"/>
    <w:rsid w:val="00A90EA8"/>
    <w:rsid w:val="00AA5F85"/>
    <w:rsid w:val="00AB66B3"/>
    <w:rsid w:val="00AC5A69"/>
    <w:rsid w:val="00AC6F3F"/>
    <w:rsid w:val="00AD2903"/>
    <w:rsid w:val="00AD39DA"/>
    <w:rsid w:val="00AD5459"/>
    <w:rsid w:val="00AE06FF"/>
    <w:rsid w:val="00AF1F25"/>
    <w:rsid w:val="00B11EA9"/>
    <w:rsid w:val="00B146C4"/>
    <w:rsid w:val="00B219EC"/>
    <w:rsid w:val="00B47A1F"/>
    <w:rsid w:val="00B50A28"/>
    <w:rsid w:val="00B53C3D"/>
    <w:rsid w:val="00B54D6C"/>
    <w:rsid w:val="00B570F3"/>
    <w:rsid w:val="00B71DD6"/>
    <w:rsid w:val="00B8499E"/>
    <w:rsid w:val="00B8611C"/>
    <w:rsid w:val="00BA0725"/>
    <w:rsid w:val="00BC06E5"/>
    <w:rsid w:val="00BF171D"/>
    <w:rsid w:val="00C1144B"/>
    <w:rsid w:val="00C22321"/>
    <w:rsid w:val="00C227AA"/>
    <w:rsid w:val="00C31ADB"/>
    <w:rsid w:val="00C470C9"/>
    <w:rsid w:val="00C5289A"/>
    <w:rsid w:val="00C53DE3"/>
    <w:rsid w:val="00C60101"/>
    <w:rsid w:val="00C64722"/>
    <w:rsid w:val="00C67B6D"/>
    <w:rsid w:val="00C77AA5"/>
    <w:rsid w:val="00C83BE5"/>
    <w:rsid w:val="00C86681"/>
    <w:rsid w:val="00CB0C05"/>
    <w:rsid w:val="00CF0900"/>
    <w:rsid w:val="00CF381D"/>
    <w:rsid w:val="00D012AB"/>
    <w:rsid w:val="00D077BE"/>
    <w:rsid w:val="00D314A5"/>
    <w:rsid w:val="00D31E18"/>
    <w:rsid w:val="00D45B42"/>
    <w:rsid w:val="00D55DC2"/>
    <w:rsid w:val="00D56CC4"/>
    <w:rsid w:val="00D73B92"/>
    <w:rsid w:val="00D772ED"/>
    <w:rsid w:val="00DA3619"/>
    <w:rsid w:val="00DE69EC"/>
    <w:rsid w:val="00DF094A"/>
    <w:rsid w:val="00DF2DF7"/>
    <w:rsid w:val="00DF5409"/>
    <w:rsid w:val="00DF71C8"/>
    <w:rsid w:val="00DF7E05"/>
    <w:rsid w:val="00E0074E"/>
    <w:rsid w:val="00E12165"/>
    <w:rsid w:val="00E2020C"/>
    <w:rsid w:val="00E20EE5"/>
    <w:rsid w:val="00E32E04"/>
    <w:rsid w:val="00E42994"/>
    <w:rsid w:val="00E43262"/>
    <w:rsid w:val="00E6244E"/>
    <w:rsid w:val="00E80306"/>
    <w:rsid w:val="00E86682"/>
    <w:rsid w:val="00EA1E54"/>
    <w:rsid w:val="00EB0D94"/>
    <w:rsid w:val="00EC6570"/>
    <w:rsid w:val="00EE7F6C"/>
    <w:rsid w:val="00EF2AB9"/>
    <w:rsid w:val="00F06A3C"/>
    <w:rsid w:val="00F25879"/>
    <w:rsid w:val="00F260B2"/>
    <w:rsid w:val="00F27621"/>
    <w:rsid w:val="00F46AA0"/>
    <w:rsid w:val="00F54DA3"/>
    <w:rsid w:val="00F56BC0"/>
    <w:rsid w:val="00F6686C"/>
    <w:rsid w:val="00F702F0"/>
    <w:rsid w:val="00F74603"/>
    <w:rsid w:val="00F774DD"/>
    <w:rsid w:val="00F83726"/>
    <w:rsid w:val="00FD2BC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
    <w:basedOn w:val="DefaultParagraphFont"/>
    <w:semiHidden/>
    <w:unhideWhenUsed/>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559408">
      <w:bodyDiv w:val="1"/>
      <w:marLeft w:val="0"/>
      <w:marRight w:val="0"/>
      <w:marTop w:val="0"/>
      <w:marBottom w:val="0"/>
      <w:divBdr>
        <w:top w:val="none" w:sz="0" w:space="0" w:color="auto"/>
        <w:left w:val="none" w:sz="0" w:space="0" w:color="auto"/>
        <w:bottom w:val="none" w:sz="0" w:space="0" w:color="auto"/>
        <w:right w:val="none" w:sz="0" w:space="0" w:color="auto"/>
      </w:divBdr>
      <w:divsChild>
        <w:div w:id="524489844">
          <w:marLeft w:val="0"/>
          <w:marRight w:val="0"/>
          <w:marTop w:val="0"/>
          <w:marBottom w:val="150"/>
          <w:divBdr>
            <w:top w:val="none" w:sz="0" w:space="0" w:color="auto"/>
            <w:left w:val="none" w:sz="0" w:space="0" w:color="auto"/>
            <w:bottom w:val="none" w:sz="0" w:space="0" w:color="auto"/>
            <w:right w:val="none" w:sz="0" w:space="0" w:color="auto"/>
          </w:divBdr>
        </w:div>
      </w:divsChild>
    </w:div>
    <w:div w:id="995958517">
      <w:bodyDiv w:val="1"/>
      <w:marLeft w:val="0"/>
      <w:marRight w:val="0"/>
      <w:marTop w:val="0"/>
      <w:marBottom w:val="0"/>
      <w:divBdr>
        <w:top w:val="none" w:sz="0" w:space="0" w:color="auto"/>
        <w:left w:val="none" w:sz="0" w:space="0" w:color="auto"/>
        <w:bottom w:val="none" w:sz="0" w:space="0" w:color="auto"/>
        <w:right w:val="none" w:sz="0" w:space="0" w:color="auto"/>
      </w:divBdr>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2550</Words>
  <Characters>14540</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Стела</dc:creator>
  <cp:lastModifiedBy>Pavlina Damyanova</cp:lastModifiedBy>
  <cp:revision>6</cp:revision>
  <cp:lastPrinted>2015-04-30T10:45:00Z</cp:lastPrinted>
  <dcterms:created xsi:type="dcterms:W3CDTF">2018-03-29T10:23:00Z</dcterms:created>
  <dcterms:modified xsi:type="dcterms:W3CDTF">2018-04-26T11:04:00Z</dcterms:modified>
</cp:coreProperties>
</file>